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240" w:lineRule="auto"/>
        <w:jc w:val="both"/>
        <w:rPr>
          <w:rFonts w:ascii="Times New Roman" w:cs="Times New Roman" w:eastAsia="Times New Roman" w:hAnsi="Times New Roman"/>
          <w:b w:val="1"/>
          <w:bCs w:val="1"/>
          <w:color w:val="000000"/>
          <w:sz w:val="44"/>
          <w:szCs w:val="44"/>
        </w:rPr>
      </w:pPr>
      <w:r w:rsidDel="00000000" w:rsidR="00000000" w:rsidRPr="00000000">
        <w:rPr>
          <w:rFonts w:ascii="Times New Roman" w:cs="Times New Roman" w:eastAsia="Times New Roman" w:hAnsi="Times New Roman"/>
          <w:b w:val="1"/>
          <w:bCs w:val="1"/>
          <w:color w:val="000000"/>
          <w:sz w:val="44"/>
          <w:szCs w:val="44"/>
          <w:rtl w:val="0"/>
        </w:rPr>
        <w:t xml:space="preserve">SCADENZARIO DEI NUOVI OBBLIGHI AMMINISTRATIVI</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i w:val="1"/>
          <w:iCs w:val="1"/>
          <w:color w:val="000000"/>
          <w:sz w:val="22"/>
          <w:szCs w:val="22"/>
        </w:rPr>
      </w:pPr>
      <w:r w:rsidDel="00000000" w:rsidR="00000000" w:rsidRPr="00000000">
        <w:rPr>
          <w:rFonts w:ascii="Times New Roman" w:cs="Times New Roman" w:eastAsia="Times New Roman" w:hAnsi="Times New Roman"/>
          <w:i w:val="1"/>
          <w:iCs w:val="1"/>
          <w:color w:val="000000"/>
          <w:sz w:val="22"/>
          <w:szCs w:val="22"/>
          <w:rtl w:val="0"/>
        </w:rPr>
        <w:t xml:space="preserve">Indicazione delle date di efficacia dei nuovi obblighi amministrativi a carico di cittadini e imprese introdotti o gestiti dall'Amministrazione, secondo le modalità definite con D.P.C.M. 8 novembre 2013</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560" w:lineRule="auto"/>
        <w:jc w:val="both"/>
        <w:rPr>
          <w:rFonts w:ascii="Times New Roman" w:cs="Times New Roman" w:eastAsia="Times New Roman" w:hAnsi="Times New Roman"/>
          <w:i w:val="1"/>
          <w:iCs w:val="1"/>
          <w:color w:val="000000"/>
          <w:sz w:val="22"/>
          <w:szCs w:val="22"/>
        </w:rPr>
      </w:pPr>
      <w:r w:rsidDel="00000000" w:rsidR="00000000" w:rsidRPr="00000000">
        <w:rPr>
          <w:rFonts w:ascii="Times New Roman" w:cs="Times New Roman" w:eastAsia="Times New Roman" w:hAnsi="Times New Roman"/>
          <w:i w:val="1"/>
          <w:iCs w:val="1"/>
          <w:color w:val="000000"/>
          <w:sz w:val="22"/>
          <w:szCs w:val="22"/>
          <w:rtl w:val="0"/>
        </w:rPr>
        <w:t xml:space="preserve">(Art. 29, comma 3, del Decreto-Legge 21 giugno 2013, n. 69)</w:t>
      </w:r>
    </w:p>
    <w:p w:rsidR="00000000" w:rsidDel="00000000" w:rsidP="00000000" w:rsidRDefault="00000000" w:rsidRPr="00000000" w14:paraId="00000004">
      <w:pPr>
        <w:pStyle w:val="Heading1"/>
        <w:pBdr>
          <w:top w:space="0" w:sz="0" w:val="nil"/>
          <w:left w:space="0" w:sz="0" w:val="nil"/>
          <w:bottom w:space="0" w:sz="0" w:val="nil"/>
          <w:right w:space="0" w:sz="0" w:val="nil"/>
          <w:between w:space="0" w:sz="0" w:val="nil"/>
        </w:pBdr>
        <w:shd w:fill="auto" w:val="clear"/>
        <w:spacing w:before="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Quadro Normativo e Finalità</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Il presente Scadenzario è redatto in conformità all'articolo 29, comma 3, del Decreto-Legge 21 giugno 2013, n. 69 (convertito con modificazioni dalla Legge 9 agosto 2013, n. 98) e secondo i criteri stabiliti dal Decreto del Presidente del Consiglio dei Ministri dell'8 novembre 2013. Lo strumento risponde alle esigenze di trasparenza, certezza del diritto e semplificazione amministrativa, garantendo a cittadini, imprese agricole e professionisti del settore una tempestiva informazione circa la decorrenza dei nuovi adempimenti e obblighi a loro carico.</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qualità di Organismo Pagatore per la Regione Calabria, ARCEA assicura che per ogni nuovo obbligo identificato siano fornite le indicazioni relative alla fonte normativa originaria, ai soggetti interessati, alla data di efficacia nonché alle modalità telematiche e operative per l'assolvimento dello stesso.</w:t>
      </w:r>
    </w:p>
    <w:p w:rsidR="00000000" w:rsidDel="00000000" w:rsidP="00000000" w:rsidRDefault="00000000" w:rsidRPr="00000000" w14:paraId="00000007">
      <w:pPr>
        <w:pStyle w:val="Heading1"/>
        <w:pBdr>
          <w:top w:space="0" w:sz="0" w:val="nil"/>
          <w:left w:space="0" w:sz="0" w:val="nil"/>
          <w:bottom w:space="0" w:sz="0" w:val="nil"/>
          <w:right w:space="0" w:sz="0" w:val="nil"/>
          <w:between w:space="0" w:sz="0" w:val="nil"/>
        </w:pBdr>
        <w:shd w:fill="auto" w:val="clear"/>
        <w:spacing w:after="240" w:before="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Tabella degli Adempimenti e Date di Efficacia</w:t>
      </w:r>
    </w:p>
    <w:tbl>
      <w:tblPr>
        <w:tblStyle w:val="Table1"/>
        <w:tblW w:w="9360.0" w:type="dxa"/>
        <w:jc w:val="left"/>
        <w:tblBorders>
          <w:top w:color="cbd5e1" w:space="0" w:sz="6" w:val="single"/>
          <w:left w:color="cbd5e1" w:space="0" w:sz="6" w:val="single"/>
          <w:bottom w:color="cbd5e1" w:space="0" w:sz="6" w:val="single"/>
          <w:right w:color="cbd5e1" w:space="0" w:sz="6" w:val="single"/>
          <w:insideH w:color="cbd5e1" w:space="0" w:sz="6" w:val="single"/>
          <w:insideV w:color="cbd5e1" w:space="0" w:sz="6"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tcBorders>
              <w:top w:color="cbd5e1" w:space="0" w:sz="6" w:val="single"/>
              <w:left w:color="cbd5e1" w:space="0" w:sz="6" w:val="single"/>
              <w:bottom w:color="cbd5e1" w:space="0" w:sz="6" w:val="single"/>
              <w:right w:color="cbd5e1" w:space="0" w:sz="6" w:val="single"/>
            </w:tcBorders>
            <w:shd w:fill="1b4d2e" w:val="clear"/>
            <w:tcMar>
              <w:top w:w="120.0" w:type="dxa"/>
              <w:left w:w="120.0" w:type="dxa"/>
              <w:bottom w:w="120.0" w:type="dxa"/>
              <w:right w:w="120.0" w:type="dxa"/>
            </w:tcMar>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b w:val="1"/>
                <w:bCs w:val="1"/>
                <w:color w:val="ffffff"/>
                <w:shd w:fill="auto" w:val="clear"/>
              </w:rPr>
            </w:pPr>
            <w:r w:rsidDel="00000000" w:rsidR="00000000" w:rsidRPr="00000000">
              <w:rPr>
                <w:rFonts w:ascii="Times New Roman" w:cs="Times New Roman" w:eastAsia="Times New Roman" w:hAnsi="Times New Roman"/>
                <w:b w:val="1"/>
                <w:bCs w:val="1"/>
                <w:color w:val="ffffff"/>
                <w:shd w:fill="auto" w:val="clear"/>
                <w:rtl w:val="0"/>
              </w:rPr>
              <w:t xml:space="preserve">Fonte Normativa</w:t>
            </w:r>
          </w:p>
        </w:tc>
        <w:tc>
          <w:tcPr>
            <w:tcBorders>
              <w:top w:color="cbd5e1" w:space="0" w:sz="6" w:val="single"/>
              <w:left w:color="cbd5e1" w:space="0" w:sz="6" w:val="single"/>
              <w:bottom w:color="cbd5e1" w:space="0" w:sz="6" w:val="single"/>
              <w:right w:color="cbd5e1" w:space="0" w:sz="6" w:val="single"/>
            </w:tcBorders>
            <w:shd w:fill="1b4d2e" w:val="clear"/>
            <w:tcMar>
              <w:top w:w="120.0" w:type="dxa"/>
              <w:left w:w="120.0" w:type="dxa"/>
              <w:bottom w:w="120.0" w:type="dxa"/>
              <w:right w:w="120.0" w:type="dxa"/>
            </w:tcMar>
            <w:vAlign w:val="top"/>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b w:val="1"/>
                <w:bCs w:val="1"/>
                <w:color w:val="ffffff"/>
                <w:shd w:fill="auto" w:val="clear"/>
              </w:rPr>
            </w:pPr>
            <w:r w:rsidDel="00000000" w:rsidR="00000000" w:rsidRPr="00000000">
              <w:rPr>
                <w:rFonts w:ascii="Times New Roman" w:cs="Times New Roman" w:eastAsia="Times New Roman" w:hAnsi="Times New Roman"/>
                <w:b w:val="1"/>
                <w:bCs w:val="1"/>
                <w:color w:val="ffffff"/>
                <w:shd w:fill="auto" w:val="clear"/>
                <w:rtl w:val="0"/>
              </w:rPr>
              <w:t xml:space="preserve">Denominazione Obbligo</w:t>
            </w:r>
          </w:p>
        </w:tc>
        <w:tc>
          <w:tcPr>
            <w:tcBorders>
              <w:top w:color="cbd5e1" w:space="0" w:sz="6" w:val="single"/>
              <w:left w:color="cbd5e1" w:space="0" w:sz="6" w:val="single"/>
              <w:bottom w:color="cbd5e1" w:space="0" w:sz="6" w:val="single"/>
              <w:right w:color="cbd5e1" w:space="0" w:sz="6" w:val="single"/>
            </w:tcBorders>
            <w:shd w:fill="1b4d2e" w:val="clear"/>
            <w:tcMar>
              <w:top w:w="120.0" w:type="dxa"/>
              <w:left w:w="120.0" w:type="dxa"/>
              <w:bottom w:w="120.0" w:type="dxa"/>
              <w:right w:w="120.0" w:type="dxa"/>
            </w:tcMar>
            <w:vAlign w:val="top"/>
          </w:tcPr>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b w:val="1"/>
                <w:bCs w:val="1"/>
                <w:color w:val="ffffff"/>
                <w:shd w:fill="auto" w:val="clear"/>
              </w:rPr>
            </w:pPr>
            <w:r w:rsidDel="00000000" w:rsidR="00000000" w:rsidRPr="00000000">
              <w:rPr>
                <w:rFonts w:ascii="Times New Roman" w:cs="Times New Roman" w:eastAsia="Times New Roman" w:hAnsi="Times New Roman"/>
                <w:b w:val="1"/>
                <w:bCs w:val="1"/>
                <w:color w:val="ffffff"/>
                <w:shd w:fill="auto" w:val="clear"/>
                <w:rtl w:val="0"/>
              </w:rPr>
              <w:t xml:space="preserve">Soggetti Interessati</w:t>
            </w:r>
          </w:p>
        </w:tc>
        <w:tc>
          <w:tcPr>
            <w:tcBorders>
              <w:top w:color="cbd5e1" w:space="0" w:sz="6" w:val="single"/>
              <w:left w:color="cbd5e1" w:space="0" w:sz="6" w:val="single"/>
              <w:bottom w:color="cbd5e1" w:space="0" w:sz="6" w:val="single"/>
              <w:right w:color="cbd5e1" w:space="0" w:sz="6" w:val="single"/>
            </w:tcBorders>
            <w:shd w:fill="1b4d2e" w:val="clear"/>
            <w:tcMar>
              <w:top w:w="120.0" w:type="dxa"/>
              <w:left w:w="120.0" w:type="dxa"/>
              <w:bottom w:w="120.0" w:type="dxa"/>
              <w:right w:w="120.0" w:type="dxa"/>
            </w:tcMar>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b w:val="1"/>
                <w:bCs w:val="1"/>
                <w:color w:val="ffffff"/>
                <w:shd w:fill="auto" w:val="clear"/>
              </w:rPr>
            </w:pPr>
            <w:r w:rsidDel="00000000" w:rsidR="00000000" w:rsidRPr="00000000">
              <w:rPr>
                <w:rFonts w:ascii="Times New Roman" w:cs="Times New Roman" w:eastAsia="Times New Roman" w:hAnsi="Times New Roman"/>
                <w:b w:val="1"/>
                <w:bCs w:val="1"/>
                <w:color w:val="ffffff"/>
                <w:shd w:fill="auto" w:val="clear"/>
                <w:rtl w:val="0"/>
              </w:rPr>
              <w:t xml:space="preserve">Data di Efficacia</w:t>
            </w:r>
          </w:p>
        </w:tc>
        <w:tc>
          <w:tcPr>
            <w:tcBorders>
              <w:top w:color="cbd5e1" w:space="0" w:sz="6" w:val="single"/>
              <w:left w:color="cbd5e1" w:space="0" w:sz="6" w:val="single"/>
              <w:bottom w:color="cbd5e1" w:space="0" w:sz="6" w:val="single"/>
              <w:right w:color="cbd5e1" w:space="0" w:sz="6" w:val="single"/>
            </w:tcBorders>
            <w:shd w:fill="1b4d2e" w:val="clear"/>
            <w:tcMar>
              <w:top w:w="120.0" w:type="dxa"/>
              <w:left w:w="120.0" w:type="dxa"/>
              <w:bottom w:w="120.0" w:type="dxa"/>
              <w:right w:w="120.0" w:type="dxa"/>
            </w:tcMar>
            <w:vAlign w:val="top"/>
          </w:tcPr>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b w:val="1"/>
                <w:bCs w:val="1"/>
                <w:color w:val="ffffff"/>
                <w:shd w:fill="auto" w:val="clear"/>
              </w:rPr>
            </w:pPr>
            <w:r w:rsidDel="00000000" w:rsidR="00000000" w:rsidRPr="00000000">
              <w:rPr>
                <w:rFonts w:ascii="Times New Roman" w:cs="Times New Roman" w:eastAsia="Times New Roman" w:hAnsi="Times New Roman"/>
                <w:b w:val="1"/>
                <w:bCs w:val="1"/>
                <w:color w:val="ffffff"/>
                <w:shd w:fill="auto" w:val="clear"/>
                <w:rtl w:val="0"/>
              </w:rPr>
              <w:t xml:space="preserve">Sintesi Adempimento e Modalità</w:t>
            </w:r>
          </w:p>
        </w:tc>
      </w:tr>
      <w:tr>
        <w:trPr>
          <w:cantSplit w:val="0"/>
          <w:tblHeader w:val="0"/>
        </w:trPr>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Regolamento (UE) 2021/2116</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Decreti MASAF di ricezione</w:t>
            </w:r>
          </w:p>
        </w:tc>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b w:val="1"/>
                <w:bCs w:val="1"/>
                <w:color w:val="000000"/>
                <w:vertAlign w:val="baseline"/>
              </w:rPr>
            </w:pPr>
            <w:r w:rsidDel="00000000" w:rsidR="00000000" w:rsidRPr="00000000">
              <w:rPr>
                <w:rFonts w:ascii="Times New Roman" w:cs="Times New Roman" w:eastAsia="Times New Roman" w:hAnsi="Times New Roman"/>
                <w:b w:val="1"/>
                <w:bCs w:val="1"/>
                <w:color w:val="000000"/>
                <w:vertAlign w:val="baseline"/>
                <w:rtl w:val="0"/>
              </w:rPr>
              <w:t xml:space="preserve">Aggiornamento e validazione obbligatoria del Fascicolo Aziendale Elettronico</w:t>
            </w:r>
          </w:p>
        </w:tc>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Imprese agricole, Consorzi, Cooperative, Produttori associati</w:t>
            </w:r>
          </w:p>
        </w:tc>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Annuale (entro i termini fissati per la Domanda Unica)</w:t>
            </w:r>
          </w:p>
        </w:tc>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Obbligo di aggiornamento e validazione grafica della consistenza territoriale, dei titoli di conduzione e delle consistenze zootecniche sul portale SIAN/ARCEA, tramite CAA mandatario o in modalità self-service.</w:t>
            </w:r>
          </w:p>
        </w:tc>
      </w:tr>
      <w:tr>
        <w:trPr>
          <w:cantSplit w:val="0"/>
          <w:tblHeader w:val="0"/>
        </w:trPr>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Bandi CSR Calabria (Complemento Sviluppo Rurale) 2023-2027</w:t>
            </w:r>
          </w:p>
        </w:tc>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b w:val="1"/>
                <w:bCs w:val="1"/>
                <w:color w:val="000000"/>
                <w:vertAlign w:val="baseline"/>
              </w:rPr>
            </w:pPr>
            <w:r w:rsidDel="00000000" w:rsidR="00000000" w:rsidRPr="00000000">
              <w:rPr>
                <w:rFonts w:ascii="Times New Roman" w:cs="Times New Roman" w:eastAsia="Times New Roman" w:hAnsi="Times New Roman"/>
                <w:b w:val="1"/>
                <w:bCs w:val="1"/>
                <w:color w:val="000000"/>
                <w:vertAlign w:val="baseline"/>
                <w:rtl w:val="0"/>
              </w:rPr>
              <w:t xml:space="preserve">Presentazione Domande di Sostengo e di Pagamento in via telematica</w:t>
            </w:r>
          </w:p>
        </w:tc>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Imprese agricole, Giovani agricoltori, Enti pubblici, PMI rurali</w:t>
            </w:r>
          </w:p>
        </w:tc>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Dalla data di pubblicazione dei singoli bandi sul BURC</w:t>
            </w:r>
          </w:p>
        </w:tc>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Obbligo di utilizzo esclusivo della firma digitale e della piattaforma informatica ARCEA per l'invio delle istanze e la rendicontazione delle spese sostenute, pena l'irricevibilità della domanda.</w:t>
            </w:r>
          </w:p>
        </w:tc>
      </w:tr>
      <w:tr>
        <w:trPr>
          <w:cantSplit w:val="0"/>
          <w:tblHeader w:val="0"/>
        </w:trPr>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D.Lgs. n. 201/2022 e Disposizioni di Coordinamento ARCEA</w:t>
            </w:r>
          </w:p>
        </w:tc>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b w:val="1"/>
                <w:bCs w:val="1"/>
                <w:color w:val="000000"/>
                <w:vertAlign w:val="baseline"/>
              </w:rPr>
            </w:pPr>
            <w:r w:rsidDel="00000000" w:rsidR="00000000" w:rsidRPr="00000000">
              <w:rPr>
                <w:rFonts w:ascii="Times New Roman" w:cs="Times New Roman" w:eastAsia="Times New Roman" w:hAnsi="Times New Roman"/>
                <w:b w:val="1"/>
                <w:bCs w:val="1"/>
                <w:color w:val="000000"/>
                <w:vertAlign w:val="baseline"/>
                <w:rtl w:val="0"/>
              </w:rPr>
              <w:t xml:space="preserve">Comunicazione delle varianze e impegni agro-climatico-ambientali</w:t>
            </w:r>
          </w:p>
        </w:tc>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Agricoltori beneficiari di misure a superficie / SIGC</w:t>
            </w:r>
          </w:p>
        </w:tc>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Inizio di ciascuna campagna di commercializzazione</w:t>
            </w:r>
          </w:p>
        </w:tc>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Obbligo di notifica telematica tramite portale ad ARCEA di eventuali variazioni strutturali o cause di forza maggiore che impediscono il parziale o totale rispetto degli impegni pluriennali assunti.</w:t>
            </w:r>
          </w:p>
        </w:tc>
      </w:tr>
      <w:tr>
        <w:trPr>
          <w:cantSplit w:val="0"/>
          <w:tblHeader w:val="0"/>
        </w:trPr>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D.Lgs. 159/2011 (Codice Antimafia) e s.m.i.</w:t>
            </w:r>
          </w:p>
        </w:tc>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b w:val="1"/>
                <w:bCs w:val="1"/>
                <w:color w:val="000000"/>
                <w:vertAlign w:val="baseline"/>
              </w:rPr>
            </w:pPr>
            <w:r w:rsidDel="00000000" w:rsidR="00000000" w:rsidRPr="00000000">
              <w:rPr>
                <w:rFonts w:ascii="Times New Roman" w:cs="Times New Roman" w:eastAsia="Times New Roman" w:hAnsi="Times New Roman"/>
                <w:b w:val="1"/>
                <w:bCs w:val="1"/>
                <w:color w:val="000000"/>
                <w:vertAlign w:val="baseline"/>
                <w:rtl w:val="0"/>
              </w:rPr>
              <w:t xml:space="preserve">Presentazione documentazione Antimafia per erogazioni &gt; € 25.000</w:t>
            </w:r>
          </w:p>
        </w:tc>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Tutti i beneficiari di aiuti comunitari e nazionali erogati da ARCEA</w:t>
            </w:r>
          </w:p>
        </w:tc>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All'atto della richiesta di liquidazione (Anticipo / Saldo)</w:t>
            </w:r>
          </w:p>
        </w:tc>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Obbligo di inserimento dei dati anagrafici completi dei soggetti sottoposti a verifica nella Banca Dati Nazionale Antimafia (BDNA) tramite i canali integrati ARCEA, per importi superiori alle soglie di legge.</w:t>
            </w:r>
          </w:p>
        </w:tc>
      </w:tr>
      <w:tr>
        <w:trPr>
          <w:cantSplit w:val="0"/>
          <w:tblHeader w:val="0"/>
        </w:trPr>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Provvedimento del Direttore dell'Agenzia ARCEA</w:t>
            </w:r>
          </w:p>
        </w:tc>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b w:val="1"/>
                <w:bCs w:val="1"/>
                <w:color w:val="000000"/>
                <w:vertAlign w:val="baseline"/>
              </w:rPr>
            </w:pPr>
            <w:r w:rsidDel="00000000" w:rsidR="00000000" w:rsidRPr="00000000">
              <w:rPr>
                <w:rFonts w:ascii="Times New Roman" w:cs="Times New Roman" w:eastAsia="Times New Roman" w:hAnsi="Times New Roman"/>
                <w:b w:val="1"/>
                <w:bCs w:val="1"/>
                <w:color w:val="000000"/>
                <w:vertAlign w:val="baseline"/>
                <w:rtl w:val="0"/>
              </w:rPr>
              <w:t xml:space="preserve">Tracciabilità dei pagamenti e comunicazione coordinate bancarie (IBAN)</w:t>
            </w:r>
          </w:p>
        </w:tc>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Tutti i soggetti beneficiari registrati nell'Anagrafe delle Aziende Agricole</w:t>
            </w:r>
          </w:p>
        </w:tc>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Immediata (all'atto dell'iscrizione o della variazione)</w:t>
            </w:r>
          </w:p>
        </w:tc>
        <w:tc>
          <w:tcPr>
            <w:tcBorders>
              <w:top w:color="cbd5e1" w:space="0" w:sz="6" w:val="single"/>
              <w:left w:color="cbd5e1" w:space="0" w:sz="6" w:val="single"/>
              <w:bottom w:color="cbd5e1" w:space="0" w:sz="6" w:val="single"/>
              <w:right w:color="cbd5e1" w:space="0" w:sz="6" w:val="single"/>
            </w:tcBorders>
            <w:shd w:fill="auto" w:val="clear"/>
            <w:tcMar>
              <w:top w:w="120.0" w:type="dxa"/>
              <w:left w:w="120.0" w:type="dxa"/>
              <w:bottom w:w="120.0" w:type="dxa"/>
              <w:right w:w="120.0" w:type="dxa"/>
            </w:tcMar>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20" w:before="12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Obbligo di esclusiva comunicazione e allineamento del codice IBAN tramite procedure certificate e validate dal sistema bancario nazionale, per prevenire anomalie nei pagamenti automatizzati.</w:t>
            </w:r>
          </w:p>
        </w:tc>
      </w:tr>
    </w:tbl>
    <w:p w:rsidR="00000000" w:rsidDel="00000000" w:rsidP="00000000" w:rsidRDefault="00000000" w:rsidRPr="00000000" w14:paraId="00000027">
      <w:pPr>
        <w:pStyle w:val="Heading2"/>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Note per l'utente e modalità di consultazione</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Pubblicazione e Trasparenza:</w:t>
      </w:r>
      <w:r w:rsidDel="00000000" w:rsidR="00000000" w:rsidRPr="00000000">
        <w:rPr>
          <w:rFonts w:ascii="Times New Roman" w:cs="Times New Roman" w:eastAsia="Times New Roman" w:hAnsi="Times New Roman"/>
          <w:color w:val="000000"/>
          <w:rtl w:val="0"/>
        </w:rPr>
        <w:t xml:space="preserve"> Il presente scadenzario viene costantemente aggiornato a cura del Responsabile della Trasparenza di ARCEA e reso disponibile sul portale istituzionale dell'Agenzia nella sezione «Amministrazione Trasparente &gt; Disposizioni generali &gt; Scadenzario dei nuovi obblighi amministrativi».</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Semplificazione e Modulistica:</w:t>
      </w:r>
      <w:r w:rsidDel="00000000" w:rsidR="00000000" w:rsidRPr="00000000">
        <w:rPr>
          <w:rFonts w:ascii="Times New Roman" w:cs="Times New Roman" w:eastAsia="Times New Roman" w:hAnsi="Times New Roman"/>
          <w:color w:val="000000"/>
          <w:rtl w:val="0"/>
        </w:rPr>
        <w:t xml:space="preserve"> Al fine di agevolare l'assolvimento degli obblighi indicati, ARCEA mette a disposizione all'interno dell'area riservata del portale e nei canali di assistenza dedicati (es. Helpdesk SIAN/ARCEA) i manuali operativi, i modelli precompilati e i link diretti per l'invio delle istanze.</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60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Sospensione e proroga dei termini:</w:t>
      </w:r>
      <w:r w:rsidDel="00000000" w:rsidR="00000000" w:rsidRPr="00000000">
        <w:rPr>
          <w:rFonts w:ascii="Times New Roman" w:cs="Times New Roman" w:eastAsia="Times New Roman" w:hAnsi="Times New Roman"/>
          <w:color w:val="000000"/>
          <w:rtl w:val="0"/>
        </w:rPr>
        <w:t xml:space="preserve"> Qualora intervengano disposizioni d'urgenza comunitarie, nazionali o regionali (es. proroghe MASAF per emergenze climatiche o cause di forza maggiore), i termini di efficacia sopra riportati s'intendono automaticamente rideterminati in conformità ai rispettivi provvedimenti di proroga, formandone oggetto di specifica ed immediata evidenza sul sito web istituzionale.</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i w:val="1"/>
          <w:iCs w:val="1"/>
          <w:color w:val="000000"/>
          <w:sz w:val="18"/>
          <w:szCs w:val="18"/>
        </w:rPr>
      </w:pPr>
      <w:r w:rsidDel="00000000" w:rsidR="00000000" w:rsidRPr="00000000">
        <w:rPr>
          <w:rFonts w:ascii="Times New Roman" w:cs="Times New Roman" w:eastAsia="Times New Roman" w:hAnsi="Times New Roman"/>
          <w:i w:val="1"/>
          <w:iCs w:val="1"/>
          <w:color w:val="000000"/>
          <w:sz w:val="18"/>
          <w:szCs w:val="18"/>
          <w:rtl w:val="0"/>
        </w:rPr>
        <w:t xml:space="preserve">Ultimo aggiornamento dello scadenzario: Giugno 2026</w:t>
      </w:r>
    </w:p>
    <w:sectPr>
      <w:headerReference r:id="rId6" w:type="default"/>
      <w:pgSz w:h="15840" w:w="12240" w:orient="portrait"/>
      <w:pgMar w:bottom="1440" w:top="2692.9133858267714"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widowControl w:val="1"/>
      <w:spacing w:line="240" w:lineRule="auto"/>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1485900</wp:posOffset>
          </wp:positionH>
          <wp:positionV relativeFrom="paragraph">
            <wp:posOffset>523875</wp:posOffset>
          </wp:positionV>
          <wp:extent cx="2975610" cy="442595"/>
          <wp:effectExtent b="0" l="0" r="0" t="0"/>
          <wp:wrapNone/>
          <wp:docPr descr="LOGO X INTESTAZIONE" id="1" name="image1.jpg"/>
          <a:graphic>
            <a:graphicData uri="http://schemas.openxmlformats.org/drawingml/2006/picture">
              <pic:pic>
                <pic:nvPicPr>
                  <pic:cNvPr descr="LOGO X INTESTAZIONE" id="0" name="image1.jpg"/>
                  <pic:cNvPicPr preferRelativeResize="0"/>
                </pic:nvPicPr>
                <pic:blipFill>
                  <a:blip r:embed="rId1"/>
                  <a:srcRect b="0" l="0" r="0" t="0"/>
                  <a:stretch>
                    <a:fillRect/>
                  </a:stretch>
                </pic:blipFill>
                <pic:spPr>
                  <a:xfrm>
                    <a:off x="0" y="0"/>
                    <a:ext cx="2975610" cy="44259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4a5568"/>
        <w:sz w:val="22"/>
        <w:szCs w:val="22"/>
      </w:rPr>
    </w:rPrDefault>
    <w:pPrDefault>
      <w:pPr>
        <w:widowControl w:val="0"/>
        <w:spacing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120" w:before="360" w:lineRule="auto"/>
    </w:pPr>
    <w:rPr>
      <w:b w:val="1"/>
      <w:bCs w:val="1"/>
      <w:i w:val="0"/>
      <w:iCs w:val="0"/>
      <w:color w:val="1b4d2e"/>
      <w:sz w:val="36"/>
      <w:szCs w:val="36"/>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80" w:before="280" w:lineRule="auto"/>
    </w:pPr>
    <w:rPr>
      <w:b w:val="1"/>
      <w:bCs w:val="1"/>
      <w:i w:val="0"/>
      <w:iCs w:val="0"/>
      <w:color w:val="1b4d2e"/>
      <w:sz w:val="28"/>
      <w:szCs w:val="28"/>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